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color w:val="000000"/>
          <w:sz w:val="60"/>
          <w:szCs w:val="60"/>
        </w:rPr>
      </w:pPr>
      <w:bookmarkStart w:colFirst="0" w:colLast="0" w:name="_heading=h.tgan6s5bfv45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60"/>
          <w:szCs w:val="60"/>
          <w:rtl w:val="0"/>
        </w:rPr>
        <w:t xml:space="preserve">Background Information Sheet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253"/>
        <w:gridCol w:w="1274"/>
        <w:gridCol w:w="1703"/>
        <w:gridCol w:w="1920"/>
        <w:gridCol w:w="1199"/>
        <w:gridCol w:w="1275"/>
        <w:tblGridChange w:id="0">
          <w:tblGrid>
            <w:gridCol w:w="2253"/>
            <w:gridCol w:w="1274"/>
            <w:gridCol w:w="1703"/>
            <w:gridCol w:w="1920"/>
            <w:gridCol w:w="1199"/>
            <w:gridCol w:w="127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Type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 type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Length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Seojun Lee (Jason)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212WD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27/10/20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PPP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min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371"/>
        <w:tblGridChange w:id="0">
          <w:tblGrid>
            <w:gridCol w:w="2263"/>
            <w:gridCol w:w="7371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Benefits of Music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Main Aim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 practice their reading comprehension.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Secondary Aim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 practice their speaking fluency.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1A">
            <w:pPr>
              <w:tabs>
                <w:tab w:val="center" w:pos="4709"/>
                <w:tab w:val="left" w:pos="864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 xml:space="preserve">Materials and References</w:t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Article 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https://www.gethealthystayhealthy.com/articles/10-health-benefits-of-music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board, markers, worksheet, pictures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263"/>
        <w:gridCol w:w="2910"/>
        <w:gridCol w:w="2177"/>
        <w:gridCol w:w="2284"/>
        <w:tblGridChange w:id="0">
          <w:tblGrid>
            <w:gridCol w:w="2263"/>
            <w:gridCol w:w="2910"/>
            <w:gridCol w:w="2177"/>
            <w:gridCol w:w="2284"/>
          </w:tblGrid>
        </w:tblGridChange>
      </w:tblGrid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 Profile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Advanced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20-30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Students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Detail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is a well established English class and the students are highly motivated learners. There is a strong rapport among the students and they are very comfortable with one another and enjoy communicating freely on any given topic/interest. They are accustomed to group work and there is an evenly distributed amount of input from each student.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deada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Anticipated Difficulties and their Solutions:</w:t>
            </w:r>
          </w:p>
        </w:tc>
      </w:tr>
      <w:tr>
        <w:trPr>
          <w:trHeight w:val="319.98046875" w:hRule="atLeast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Desk arrangement -&gt; Change desk arrangements so students are not too far apart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 difficulties -&gt; Download material onto usb and print hard copy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dfec" w:val="clear"/>
          </w:tcPr>
          <w:p w:rsidR="00000000" w:rsidDel="00000000" w:rsidP="00000000" w:rsidRDefault="00000000" w:rsidRPr="00000000" w14:paraId="00000034">
            <w:pPr>
              <w:tabs>
                <w:tab w:val="center" w:pos="4400"/>
                <w:tab w:val="left" w:pos="5607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 xml:space="preserve">My Personal Aim</w:t>
              <w:tab/>
            </w:r>
          </w:p>
        </w:tc>
      </w:tr>
      <w:tr>
        <w:trPr>
          <w:trHeight w:val="349.98046875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 hope most to demonstrate in this lesson is the ability to engage the students as much as possible by spurring spontaneous fluency.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0"/>
        <w:gridCol w:w="1455"/>
        <w:gridCol w:w="7230"/>
        <w:tblGridChange w:id="0">
          <w:tblGrid>
            <w:gridCol w:w="960"/>
            <w:gridCol w:w="1455"/>
            <w:gridCol w:w="723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Lead-in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 relax both the teacher and students. To focus attention on the lesson. To lead in to the topic, activating background knowledge – this will help to contextualize the text. This is a BEFORE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Hi guys, take a look at these pictures and as a group share your thoughts.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do the pictures have in common (Listening to music)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And what can you tell from their facial expressions? (Smiling, concentrating, sleeping)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discuss as a group.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Clap to inform time is up and grab attention.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Feedback if appropriate.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0"/>
        <w:gridCol w:w="1440"/>
        <w:gridCol w:w="7245"/>
        <w:tblGridChange w:id="0">
          <w:tblGrid>
            <w:gridCol w:w="960"/>
            <w:gridCol w:w="1440"/>
            <w:gridCol w:w="7245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 pre-teach keywords if necessary, and answer a guiding question (such as a predicting task, or a specific question). These steps provide extra help for students to comprehend the text. This is a BEFORE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Pictures.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Pre-teach keywords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Elicit - Show picture. What can you see from this picture? Each company has different? (Benefit)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CCQ – Does benefit mean advantage or disadvantage? (Advantage)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Drill – Listen and repeat 3 times together. (Gesture)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Choral and individual drilling for correct pronunciation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Board – Write “benefit” on the board. 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 Highlight special areas of pronunciation. ben/e/fit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 How many syllables? (3) Where is the stress? (1st)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Elicit - Show picture. How do they all look? What do you think no.51 is doing? (He’s pumping up the team)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CCQ - If I feel pumped up, can I say I’m excited? Energized? (Yes)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Drill - Listen and repeat 3 times together. (Gesture)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Choral and individual drilling for correct pronunciation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Board - Write “pumped up” on the board.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Where is stress? (1st word)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Guiding Question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Who likes listening to music? (Students respond)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Now I want you guys to discuss as a group when you listen to music and what genre of music you listen to.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Maybe when you’re studying or working out or just relaxing.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I’ll give you 2 mins. Begin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discuss.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Feedback.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0"/>
        <w:gridCol w:w="1425"/>
        <w:gridCol w:w="7260"/>
        <w:tblGridChange w:id="0">
          <w:tblGrid>
            <w:gridCol w:w="960"/>
            <w:gridCol w:w="1425"/>
            <w:gridCol w:w="726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Practice – Literal Comprehension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to get students to practice reading for literal detail. They will also practice fast reading (skimming and scanning). This is a WHILE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Instructions. Set the purpose for reading. Hand out worksheets.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Work individually for this exercise. Point to exercise A. After you have completed the exercise compare your answers as a group. Do not do exercise B.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 will give you 2 mins guys.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ICQ.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 you work alone for this exercise? (Yes)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much time do you have? (2min)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Good. Begin.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skim and scan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, and write answers on the worksheet.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Group check.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Feedback to check accuracy.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75"/>
        <w:gridCol w:w="1380"/>
        <w:gridCol w:w="7290"/>
        <w:tblGridChange w:id="0">
          <w:tblGrid>
            <w:gridCol w:w="975"/>
            <w:gridCol w:w="1380"/>
            <w:gridCol w:w="729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Practice – Interpretive Comprehension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to get students to get students to practice interpreting a text correctly This will require more detailed, careful reading, and thinking time to arrive at the correct answer. This is a WHILE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min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Instructions. Set the purpose for reading. Hand out worksheets.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Now take a look at Exercise B. Work individually again. Read the question carefully and write your answer underneath the question. I will give you 3 mins for this exercise. Begin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read for the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time. Students write their answers down.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Group check. </w:t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Feedback to check accuracy.</w:t>
            </w:r>
          </w:p>
        </w:tc>
      </w:tr>
    </w:tbl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0"/>
        <w:gridCol w:w="1365"/>
        <w:gridCol w:w="7320"/>
        <w:tblGridChange w:id="0">
          <w:tblGrid>
            <w:gridCol w:w="960"/>
            <w:gridCol w:w="1365"/>
            <w:gridCol w:w="732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Production - Applied Comprehension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for students to practice their speaking fluency and is related to the lesson topic. This is an AFTER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all materials that will be needed in this stage.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 min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Instructions. Give students a question to discuss in pairs or groups.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Now read Exercise C and talk as a group about the following question.</w:t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 will give you 8 minutes. Begin</w:t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discuss.</w:t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Feedback. Students share their ideas with the class. (Optional.)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75"/>
        <w:gridCol w:w="1395"/>
        <w:gridCol w:w="7275"/>
        <w:tblGridChange w:id="0">
          <w:tblGrid>
            <w:gridCol w:w="975"/>
            <w:gridCol w:w="1395"/>
            <w:gridCol w:w="7275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Wrap-up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to end the lesson on a positive note so that students feel they have achieved progress. This is an AFTER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all materials that will be needed in this stage.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Lesson feedback. Tell the class what they did well, and what needs to improve.</w:t>
            </w:r>
          </w:p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Offer delayed corrections to the previous stage.</w:t>
            </w:r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Title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ln49poob4bmf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Worksheet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A. </w:t>
      </w:r>
    </w:p>
    <w:p w:rsidR="00000000" w:rsidDel="00000000" w:rsidP="00000000" w:rsidRDefault="00000000" w:rsidRPr="00000000" w14:paraId="00000181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Hearing a particular song can bring back a special memory or ______________________ or _________ or ________________.</w:t>
      </w:r>
    </w:p>
    <w:p w:rsidR="00000000" w:rsidDel="00000000" w:rsidP="00000000" w:rsidRDefault="00000000" w:rsidRPr="00000000" w14:paraId="0000018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chemical is released when we hear music to our liking?</w:t>
      </w:r>
    </w:p>
    <w:p w:rsidR="00000000" w:rsidDel="00000000" w:rsidP="00000000" w:rsidRDefault="00000000" w:rsidRPr="00000000" w14:paraId="00000183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benefit of listening to ‘relaxing’ music?</w:t>
      </w:r>
    </w:p>
    <w:p w:rsidR="00000000" w:rsidDel="00000000" w:rsidP="00000000" w:rsidRDefault="00000000" w:rsidRPr="00000000" w14:paraId="00000185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instrument does Dominik Albano play? For how many years?</w:t>
      </w:r>
    </w:p>
    <w:p w:rsidR="00000000" w:rsidDel="00000000" w:rsidP="00000000" w:rsidRDefault="00000000" w:rsidRPr="00000000" w14:paraId="0000018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B.</w:t>
      </w:r>
    </w:p>
    <w:p w:rsidR="00000000" w:rsidDel="00000000" w:rsidP="00000000" w:rsidRDefault="00000000" w:rsidRPr="00000000" w14:paraId="0000018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think the author mentions the fact that Dominick Albano is the Vice President of the company?</w:t>
      </w:r>
    </w:p>
    <w:p w:rsidR="00000000" w:rsidDel="00000000" w:rsidP="00000000" w:rsidRDefault="00000000" w:rsidRPr="00000000" w14:paraId="0000018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C.</w:t>
      </w:r>
    </w:p>
    <w:p w:rsidR="00000000" w:rsidDel="00000000" w:rsidP="00000000" w:rsidRDefault="00000000" w:rsidRPr="00000000" w14:paraId="0000019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particular song that is tied to a special memory?</w:t>
      </w:r>
    </w:p>
    <w:p w:rsidR="00000000" w:rsidDel="00000000" w:rsidP="00000000" w:rsidRDefault="00000000" w:rsidRPr="00000000" w14:paraId="0000019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there one song that you would like to hear live?</w:t>
      </w:r>
    </w:p>
    <w:p w:rsidR="00000000" w:rsidDel="00000000" w:rsidP="00000000" w:rsidRDefault="00000000" w:rsidRPr="00000000" w14:paraId="0000019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Style w:val="Title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5zjy9uok26df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Answer Sheet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A. </w:t>
      </w:r>
    </w:p>
    <w:p w:rsidR="00000000" w:rsidDel="00000000" w:rsidP="00000000" w:rsidRDefault="00000000" w:rsidRPr="00000000" w14:paraId="000001A0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Hearing a particular song can bring back a special memory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make you feel happy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calm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pumped up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A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chemical is released when we hear music to our liking? </w:t>
      </w:r>
    </w:p>
    <w:p w:rsidR="00000000" w:rsidDel="00000000" w:rsidP="00000000" w:rsidRDefault="00000000" w:rsidRPr="00000000" w14:paraId="000001A2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Dopamine</w:t>
      </w:r>
    </w:p>
    <w:p w:rsidR="00000000" w:rsidDel="00000000" w:rsidP="00000000" w:rsidRDefault="00000000" w:rsidRPr="00000000" w14:paraId="000001A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benefit of listening to ‘relaxing’ music? </w:t>
      </w:r>
    </w:p>
    <w:p w:rsidR="00000000" w:rsidDel="00000000" w:rsidP="00000000" w:rsidRDefault="00000000" w:rsidRPr="00000000" w14:paraId="000001A4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Listening to ‘relaxing’ music has been shown to reduce stress and anxiety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instrument does Dominik Albano play? For how many years?</w:t>
      </w:r>
    </w:p>
    <w:p w:rsidR="00000000" w:rsidDel="00000000" w:rsidP="00000000" w:rsidRDefault="00000000" w:rsidRPr="00000000" w14:paraId="000001A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Guitar for 35 years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B.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think the author mentions the fact that Dominick Albano is the Vice President of the company? (Pfizer is one of the world’s largest pharmaceutical companies)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illustrate the idea that someone as successful as he is uses music as a source of balance in his life.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C.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particular song that is tied to a special memory?</w:t>
      </w:r>
    </w:p>
    <w:p w:rsidR="00000000" w:rsidDel="00000000" w:rsidP="00000000" w:rsidRDefault="00000000" w:rsidRPr="00000000" w14:paraId="000001B6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there one song that you would like to hear live?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Style w:val="Title"/>
        <w:rPr>
          <w:rFonts w:ascii="Times New Roman" w:cs="Times New Roman" w:eastAsia="Times New Roman" w:hAnsi="Times New Roman"/>
          <w:color w:val="000000"/>
          <w:sz w:val="60"/>
          <w:szCs w:val="60"/>
        </w:rPr>
      </w:pPr>
      <w:bookmarkStart w:colFirst="0" w:colLast="0" w:name="_heading=h.pp0p32mnsi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Title"/>
        <w:rPr>
          <w:rFonts w:ascii="Times New Roman" w:cs="Times New Roman" w:eastAsia="Times New Roman" w:hAnsi="Times New Roman"/>
          <w:color w:val="000000"/>
          <w:sz w:val="60"/>
          <w:szCs w:val="60"/>
        </w:rPr>
      </w:pPr>
      <w:bookmarkStart w:colFirst="0" w:colLast="0" w:name="_heading=h.fb1cal7laqb1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60"/>
          <w:szCs w:val="60"/>
          <w:rtl w:val="0"/>
        </w:rPr>
        <w:t xml:space="preserve">Instructor’s Comments and Assessment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2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000"/>
        <w:gridCol w:w="2998"/>
        <w:gridCol w:w="3626"/>
        <w:tblGridChange w:id="0">
          <w:tblGrid>
            <w:gridCol w:w="3000"/>
            <w:gridCol w:w="2998"/>
            <w:gridCol w:w="3626"/>
          </w:tblGrid>
        </w:tblGridChange>
      </w:tblGrid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1BC">
            <w:pPr>
              <w:tabs>
                <w:tab w:val="left" w:pos="1405"/>
                <w:tab w:val="center" w:pos="440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4" w:hRule="atLeast"/>
        </w:trPr>
        <w:tc>
          <w:tcPr>
            <w:gridSpan w:val="3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5b9b7" w:val="clear"/>
          </w:tcPr>
          <w:p w:rsidR="00000000" w:rsidDel="00000000" w:rsidP="00000000" w:rsidRDefault="00000000" w:rsidRPr="00000000" w14:paraId="000001C8">
            <w:pPr>
              <w:tabs>
                <w:tab w:val="center" w:pos="4400"/>
                <w:tab w:val="left" w:pos="5783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1414" w:hRule="atLeast"/>
        </w:trPr>
        <w:tc>
          <w:tcPr>
            <w:gridSpan w:val="3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b8cce4" w:val="clear"/>
          </w:tcPr>
          <w:p w:rsidR="00000000" w:rsidDel="00000000" w:rsidP="00000000" w:rsidRDefault="00000000" w:rsidRPr="00000000" w14:paraId="000001D4">
            <w:pPr>
              <w:tabs>
                <w:tab w:val="center" w:pos="4400"/>
                <w:tab w:val="left" w:pos="6382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702" w:hRule="atLeast"/>
        </w:trPr>
        <w:tc>
          <w:tcPr>
            <w:gridSpan w:val="3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c1d9" w:val="clear"/>
          </w:tcPr>
          <w:p w:rsidR="00000000" w:rsidDel="00000000" w:rsidP="00000000" w:rsidRDefault="00000000" w:rsidRPr="00000000" w14:paraId="000001E0">
            <w:pPr>
              <w:tabs>
                <w:tab w:val="center" w:pos="4400"/>
                <w:tab w:val="left" w:pos="6359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Overall Comments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bd5b5" w:val="clear"/>
          </w:tcPr>
          <w:p w:rsidR="00000000" w:rsidDel="00000000" w:rsidP="00000000" w:rsidRDefault="00000000" w:rsidRPr="00000000" w14:paraId="000001EC">
            <w:pPr>
              <w:tabs>
                <w:tab w:val="center" w:pos="4400"/>
                <w:tab w:val="left" w:pos="526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Grade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Above Standard 85%-100%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 70%-84%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Below Standard 69%-0%</w:t>
            </w:r>
          </w:p>
        </w:tc>
      </w:tr>
      <w:tr>
        <w:tc>
          <w:tcPr>
            <w:shd w:fill="b7dde8" w:val="clea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Student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Taute, David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425.1968503937007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Malgun Gothic" w:cs="Malgun Gothic" w:eastAsia="Malgun Gothic" w:hAnsi="Malgun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Malgun Gothic" w:cs="Malgun Gothic" w:eastAsia="Malgun Gothic" w:hAnsi="Malgun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Malgun Gothic" w:cs="Malgun Gothic" w:eastAsia="Malgun Gothic" w:hAnsi="Malgun Gothic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Malgun Gothic" w:cs="Malgun Gothic" w:eastAsia="Malgun Gothic" w:hAnsi="Malgun Gothic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Malgun Gothic" w:cs="Malgun Gothic" w:eastAsia="Malgun Gothic" w:hAnsi="Malgun Gothic"/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Malgun Gothic" w:cs="Malgun Gothic" w:eastAsia="Malgun Gothic" w:hAnsi="Malgun Gothic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Malgun Gothic" w:cs="Malgun Gothic" w:eastAsia="Malgun Gothic" w:hAnsi="Malgun Gothic"/>
      <w:color w:val="1f497d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Malgun Gothic" w:cs="Malgun Gothic" w:eastAsia="Malgun Gothic" w:hAnsi="Malgun Gothic"/>
      <w:i w:val="1"/>
      <w:color w:val="1f497d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Malgun Gothic" w:cs="Malgun Gothic" w:eastAsia="Malgun Gothic" w:hAnsi="Malgun Gothic"/>
      <w:color w:val="4f81bd"/>
      <w:sz w:val="56"/>
      <w:szCs w:val="56"/>
    </w:rPr>
  </w:style>
  <w:style w:type="paragraph" w:styleId="Normal" w:default="1">
    <w:name w:val="Normal"/>
    <w:qFormat w:val="1"/>
    <w:rsid w:val="00C83B13"/>
  </w:style>
  <w:style w:type="paragraph" w:styleId="Heading1">
    <w:name w:val="heading 1"/>
    <w:basedOn w:val="Normal"/>
    <w:next w:val="Normal"/>
    <w:link w:val="Heading1Char"/>
    <w:uiPriority w:val="9"/>
    <w:qFormat w:val="1"/>
    <w:rsid w:val="00C83B13"/>
    <w:pPr>
      <w:keepNext w:val="1"/>
      <w:keepLines w:val="1"/>
      <w:spacing w:after="0" w:before="320" w:line="240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C83B13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83B13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4061" w:themeColor="accent1" w:themeShade="0000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olor w:val="1f497d" w:themeColor="text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2619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83B1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C83B13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C83B13"/>
    <w:rPr>
      <w:rFonts w:asciiTheme="majorHAnsi" w:cstheme="majorBidi" w:eastAsiaTheme="majorEastAsia" w:hAnsiTheme="majorHAnsi"/>
      <w:color w:val="1f497d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C83B13"/>
    <w:rPr>
      <w:rFonts w:asciiTheme="majorHAnsi" w:cstheme="majorBidi" w:eastAsiaTheme="majorEastAsia" w:hAnsiTheme="majorHAns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C83B13"/>
    <w:rPr>
      <w:rFonts w:asciiTheme="majorHAnsi" w:cstheme="majorBidi" w:eastAsiaTheme="majorEastAsia" w:hAnsiTheme="majorHAnsi"/>
      <w:color w:val="1f497d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C83B13"/>
    <w:rPr>
      <w:rFonts w:asciiTheme="majorHAnsi" w:cstheme="majorBidi" w:eastAsiaTheme="majorEastAsia" w:hAnsiTheme="majorHAnsi"/>
      <w:i w:val="1"/>
      <w:iCs w:val="1"/>
      <w:color w:val="1f497d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C83B13"/>
    <w:rPr>
      <w:rFonts w:asciiTheme="majorHAnsi" w:cstheme="majorBidi" w:eastAsiaTheme="majorEastAsia" w:hAnsiTheme="majorHAnsi"/>
      <w:i w:val="1"/>
      <w:iCs w:val="1"/>
      <w:color w:val="244061" w:themeColor="accent1" w:themeShade="0000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C83B13"/>
    <w:rPr>
      <w:rFonts w:asciiTheme="majorHAnsi" w:cstheme="majorBidi" w:eastAsiaTheme="majorEastAsia" w:hAnsiTheme="majorHAnsi"/>
      <w:b w:val="1"/>
      <w:bCs w:val="1"/>
      <w:color w:val="1f497d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C83B13"/>
    <w:rPr>
      <w:rFonts w:asciiTheme="majorHAnsi" w:cstheme="majorBidi" w:eastAsiaTheme="majorEastAsia" w:hAnsiTheme="majorHAnsi"/>
      <w:b w:val="1"/>
      <w:bCs w:val="1"/>
      <w:i w:val="1"/>
      <w:iCs w:val="1"/>
      <w:color w:val="1f497d" w:themeColor="text2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C83B13"/>
    <w:pPr>
      <w:spacing w:line="240" w:lineRule="auto"/>
    </w:pPr>
    <w:rPr>
      <w:b w:val="1"/>
      <w:bCs w:val="1"/>
      <w:smallCaps w:val="1"/>
      <w:color w:val="595959" w:themeColor="text1" w:themeTint="0000A6"/>
      <w:spacing w:val="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C83B13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4f81bd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83B13"/>
    <w:rPr>
      <w:rFonts w:asciiTheme="majorHAnsi" w:cstheme="majorBidi" w:eastAsiaTheme="majorEastAsia" w:hAnsiTheme="majorHAns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C83B13"/>
    <w:pPr>
      <w:numPr>
        <w:ilvl w:val="1"/>
      </w:numPr>
      <w:spacing w:line="240" w:lineRule="auto"/>
    </w:pPr>
    <w:rPr>
      <w:rFonts w:asciiTheme="majorHAnsi" w:cstheme="majorBidi" w:eastAsiaTheme="majorEastAsia" w:hAnsiTheme="majorHAns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C83B13"/>
    <w:rPr>
      <w:rFonts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C83B13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C83B13"/>
    <w:rPr>
      <w:i w:val="1"/>
      <w:iCs w:val="1"/>
    </w:rPr>
  </w:style>
  <w:style w:type="paragraph" w:styleId="NoSpacing">
    <w:name w:val="No Spacing"/>
    <w:uiPriority w:val="1"/>
    <w:qFormat w:val="1"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C83B13"/>
    <w:pPr>
      <w:spacing w:before="160"/>
      <w:ind w:left="720" w:right="720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C83B13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C83B13"/>
    <w:pPr>
      <w:pBdr>
        <w:left w:color="4f81bd" w:space="12" w:sz="18" w:themeColor="accent1" w:val="single"/>
      </w:pBdr>
      <w:spacing w:before="100" w:beforeAutospacing="1" w:line="300" w:lineRule="auto"/>
      <w:ind w:left="1224" w:right="1224"/>
    </w:pPr>
    <w:rPr>
      <w:rFonts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83B13"/>
    <w:rPr>
      <w:rFonts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C83B13"/>
    <w:rPr>
      <w:i w:val="1"/>
      <w:iCs w:val="1"/>
      <w:color w:val="404040" w:themeColor="text1" w:themeTint="0000BF"/>
    </w:rPr>
  </w:style>
  <w:style w:type="character" w:styleId="IntenseEmphasis">
    <w:name w:val="Intense Emphasis"/>
    <w:basedOn w:val="DefaultParagraphFont"/>
    <w:uiPriority w:val="21"/>
    <w:qFormat w:val="1"/>
    <w:rsid w:val="00C83B13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C83B13"/>
    <w:rPr>
      <w:smallCaps w:val="1"/>
      <w:color w:val="404040" w:themeColor="text1" w:themeTint="0000BF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C83B13"/>
    <w:rPr>
      <w:b w:val="1"/>
      <w:bCs w:val="1"/>
      <w:smallCaps w:val="1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C83B13"/>
    <w:rPr>
      <w:b w:val="1"/>
      <w:bCs w:val="1"/>
      <w:smallCaps w:val="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 w:val="1"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 w:val="1"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2A2C"/>
  </w:style>
  <w:style w:type="paragraph" w:styleId="Subtitle">
    <w:name w:val="Subtitle"/>
    <w:basedOn w:val="Normal"/>
    <w:next w:val="Normal"/>
    <w:pPr>
      <w:spacing w:line="240" w:lineRule="auto"/>
    </w:pPr>
    <w:rPr>
      <w:rFonts w:ascii="Malgun Gothic" w:cs="Malgun Gothic" w:eastAsia="Malgun Gothic" w:hAnsi="Malgun Gothic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ethealthystayhealthy.com/articles/10-health-benefits-of-music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bKG4J2rHmTXlwbByj+kcaulxw==">AMUW2mXRzXkwQFtDi2pZTyZK+TMVHhzxnXD8ro/d6i8sYWfziCKmamwgZE5YgVdLNmWMPbi7EjTxVIqGh9J9zlPkKMY67jzVYFZxaNar633GKePmKW4ePOmFqbFDc9ylxawp+NQ17k1TxIpuPYB0eqjcyi/PuxAH+y0YnB4WISLhpkb8BKr3czPY0PVUWBdPQhOzkpQ2VyrOmdTqbk7uKsW73dZKaYw9KplLqVVKJWcX8TKYmVPHVyw=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2019-03-30T09:33:00Z</dcterms:created>
  <dc:creator>user</dc:creator>
</cp:coreProperties>
</file>